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F3" w:rsidRDefault="004C4A42" w:rsidP="009530F3">
      <w:pPr>
        <w:numPr>
          <w:ilvl w:val="0"/>
          <w:numId w:val="2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kern w:val="20"/>
          <w:sz w:val="22"/>
          <w:szCs w:val="22"/>
        </w:rPr>
      </w:pPr>
      <w:bookmarkStart w:id="0" w:name="_GoBack"/>
      <w:bookmarkEnd w:id="0"/>
      <w:r w:rsidRPr="004C4A42">
        <w:rPr>
          <w:rFonts w:ascii="Arial" w:hAnsi="Arial" w:cs="Arial"/>
          <w:bCs/>
          <w:spacing w:val="-3"/>
          <w:sz w:val="22"/>
          <w:szCs w:val="22"/>
        </w:rPr>
        <w:t xml:space="preserve">Cabinet approved the rewrite of the </w:t>
      </w:r>
      <w:r w:rsidRPr="004C4A42">
        <w:rPr>
          <w:rFonts w:ascii="Arial" w:hAnsi="Arial" w:cs="Arial"/>
          <w:bCs/>
          <w:i/>
          <w:spacing w:val="-3"/>
          <w:sz w:val="22"/>
          <w:szCs w:val="22"/>
        </w:rPr>
        <w:t>Land Tax Act 1915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058E4">
        <w:rPr>
          <w:rFonts w:ascii="Arial" w:hAnsi="Arial" w:cs="Arial"/>
          <w:bCs/>
          <w:spacing w:val="-3"/>
          <w:sz w:val="22"/>
          <w:szCs w:val="22"/>
        </w:rPr>
        <w:t xml:space="preserve">(LTA)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using </w:t>
      </w:r>
      <w:r w:rsidRPr="004C4A42">
        <w:rPr>
          <w:rFonts w:ascii="Arial" w:hAnsi="Arial" w:cs="Arial"/>
          <w:bCs/>
          <w:spacing w:val="-3"/>
          <w:sz w:val="22"/>
          <w:szCs w:val="22"/>
        </w:rPr>
        <w:t>plain English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r w:rsidRPr="004C4A42">
        <w:rPr>
          <w:rFonts w:ascii="Arial" w:hAnsi="Arial" w:cs="Arial"/>
          <w:bCs/>
          <w:spacing w:val="-3"/>
          <w:sz w:val="22"/>
          <w:szCs w:val="22"/>
        </w:rPr>
        <w:t xml:space="preserve"> contemporary drafting practices.  There will be no policy changes in the rewrite. </w:t>
      </w:r>
    </w:p>
    <w:p w:rsidR="009530F3" w:rsidRPr="009530F3" w:rsidRDefault="009530F3" w:rsidP="009530F3">
      <w:pPr>
        <w:numPr>
          <w:ilvl w:val="0"/>
          <w:numId w:val="2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6058E4">
        <w:rPr>
          <w:rFonts w:ascii="Arial" w:hAnsi="Arial" w:cs="Arial"/>
          <w:bCs/>
          <w:spacing w:val="-3"/>
          <w:sz w:val="22"/>
          <w:szCs w:val="22"/>
        </w:rPr>
        <w:t xml:space="preserve"> LTA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9530F3">
        <w:rPr>
          <w:rFonts w:ascii="Arial" w:hAnsi="Arial" w:cs="Arial"/>
          <w:bCs/>
          <w:spacing w:val="-3"/>
          <w:sz w:val="22"/>
          <w:szCs w:val="22"/>
        </w:rPr>
        <w:t>imposes land tax on the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value of a taxpayer’s total landholdings at 30 June each financial year.  Land values are determined by the chief executive of the Department of Environment and Resource Management under 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Valuation of Land Act </w:t>
      </w:r>
      <w:r w:rsidRPr="009530F3">
        <w:rPr>
          <w:rFonts w:ascii="Arial" w:hAnsi="Arial" w:cs="Arial"/>
          <w:bCs/>
          <w:i/>
          <w:spacing w:val="-3"/>
          <w:sz w:val="22"/>
          <w:szCs w:val="22"/>
        </w:rPr>
        <w:t>1944.</w:t>
      </w:r>
    </w:p>
    <w:p w:rsidR="009530F3" w:rsidRDefault="009530F3" w:rsidP="009530F3">
      <w:pPr>
        <w:numPr>
          <w:ilvl w:val="0"/>
          <w:numId w:val="2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9530F3">
        <w:rPr>
          <w:rFonts w:ascii="Arial" w:hAnsi="Arial" w:cs="Arial"/>
          <w:sz w:val="22"/>
          <w:szCs w:val="22"/>
        </w:rPr>
        <w:t>generic</w:t>
      </w:r>
      <w:r w:rsidRPr="009530F3">
        <w:rPr>
          <w:rFonts w:ascii="Arial" w:hAnsi="Arial" w:cs="Arial"/>
          <w:kern w:val="20"/>
          <w:sz w:val="22"/>
          <w:szCs w:val="22"/>
        </w:rPr>
        <w:t xml:space="preserve"> administration and enforcement provisions of the </w:t>
      </w:r>
      <w:r w:rsidRPr="009530F3">
        <w:rPr>
          <w:rFonts w:ascii="Arial" w:hAnsi="Arial" w:cs="Arial"/>
          <w:i/>
          <w:sz w:val="22"/>
          <w:szCs w:val="22"/>
        </w:rPr>
        <w:t xml:space="preserve">Taxation Administration Act 2001 </w:t>
      </w:r>
      <w:r w:rsidRPr="009530F3">
        <w:rPr>
          <w:rFonts w:ascii="Arial" w:hAnsi="Arial" w:cs="Arial"/>
          <w:sz w:val="22"/>
          <w:szCs w:val="22"/>
        </w:rPr>
        <w:t xml:space="preserve">were applied to land tax administration from </w:t>
      </w:r>
      <w:smartTag w:uri="urn:schemas-microsoft-com:office:smarttags" w:element="date">
        <w:smartTagPr>
          <w:attr w:name="Year" w:val="2009"/>
          <w:attr w:name="Day" w:val="1"/>
          <w:attr w:name="Month" w:val="7"/>
        </w:smartTagPr>
        <w:r w:rsidR="006058E4">
          <w:rPr>
            <w:rFonts w:ascii="Arial" w:hAnsi="Arial" w:cs="Arial"/>
            <w:sz w:val="22"/>
            <w:szCs w:val="22"/>
          </w:rPr>
          <w:t xml:space="preserve">1 </w:t>
        </w:r>
        <w:r w:rsidR="00BB4C83">
          <w:rPr>
            <w:rFonts w:ascii="Arial" w:hAnsi="Arial" w:cs="Arial"/>
            <w:sz w:val="22"/>
            <w:szCs w:val="22"/>
          </w:rPr>
          <w:t xml:space="preserve">July </w:t>
        </w:r>
        <w:r w:rsidR="00BB4C83" w:rsidRPr="009530F3">
          <w:rPr>
            <w:rFonts w:ascii="Arial" w:hAnsi="Arial" w:cs="Arial"/>
            <w:sz w:val="22"/>
            <w:szCs w:val="22"/>
          </w:rPr>
          <w:t>2009</w:t>
        </w:r>
      </w:smartTag>
      <w:r w:rsidRPr="009530F3">
        <w:rPr>
          <w:rFonts w:ascii="Arial" w:hAnsi="Arial" w:cs="Arial"/>
          <w:sz w:val="22"/>
          <w:szCs w:val="22"/>
        </w:rPr>
        <w:t xml:space="preserve">. </w:t>
      </w:r>
      <w:r w:rsidRPr="009530F3">
        <w:rPr>
          <w:rFonts w:ascii="Arial" w:hAnsi="Arial" w:cs="Arial"/>
          <w:kern w:val="20"/>
          <w:sz w:val="22"/>
          <w:szCs w:val="22"/>
        </w:rPr>
        <w:t xml:space="preserve">At that time, </w:t>
      </w:r>
      <w:r>
        <w:rPr>
          <w:rFonts w:ascii="Arial" w:hAnsi="Arial" w:cs="Arial"/>
          <w:kern w:val="20"/>
          <w:sz w:val="22"/>
          <w:szCs w:val="22"/>
        </w:rPr>
        <w:t xml:space="preserve">most of the administrative and enforcement provisions of </w:t>
      </w:r>
      <w:r w:rsidRPr="009530F3">
        <w:rPr>
          <w:rFonts w:ascii="Arial" w:hAnsi="Arial" w:cs="Arial"/>
          <w:kern w:val="20"/>
          <w:sz w:val="22"/>
          <w:szCs w:val="22"/>
        </w:rPr>
        <w:t>the</w:t>
      </w:r>
      <w:r w:rsidR="006058E4">
        <w:rPr>
          <w:rFonts w:ascii="Arial" w:hAnsi="Arial" w:cs="Arial"/>
          <w:kern w:val="20"/>
          <w:sz w:val="22"/>
          <w:szCs w:val="22"/>
        </w:rPr>
        <w:t xml:space="preserve"> LTA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were</w:t>
      </w:r>
      <w:r w:rsidRPr="009530F3">
        <w:rPr>
          <w:rFonts w:ascii="Arial" w:hAnsi="Arial" w:cs="Arial"/>
          <w:kern w:val="20"/>
          <w:sz w:val="22"/>
          <w:szCs w:val="22"/>
        </w:rPr>
        <w:t xml:space="preserve"> repealed, leaving the core taxing and exemption provisions. </w:t>
      </w:r>
    </w:p>
    <w:p w:rsidR="00200469" w:rsidRDefault="00681D22" w:rsidP="00200469">
      <w:pPr>
        <w:numPr>
          <w:ilvl w:val="0"/>
          <w:numId w:val="2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Many of t</w:t>
      </w:r>
      <w:r w:rsidR="009530F3">
        <w:rPr>
          <w:rFonts w:ascii="Arial" w:hAnsi="Arial" w:cs="Arial"/>
          <w:kern w:val="20"/>
          <w:sz w:val="22"/>
          <w:szCs w:val="22"/>
        </w:rPr>
        <w:t xml:space="preserve">he remaining provisions </w:t>
      </w:r>
      <w:r w:rsidR="009530F3" w:rsidRPr="009530F3">
        <w:rPr>
          <w:rFonts w:ascii="Arial" w:hAnsi="Arial" w:cs="Arial"/>
          <w:kern w:val="20"/>
          <w:sz w:val="22"/>
          <w:szCs w:val="22"/>
        </w:rPr>
        <w:t>have been in the</w:t>
      </w:r>
      <w:r w:rsidR="006058E4">
        <w:rPr>
          <w:rFonts w:ascii="Arial" w:hAnsi="Arial" w:cs="Arial"/>
          <w:kern w:val="20"/>
          <w:sz w:val="22"/>
          <w:szCs w:val="22"/>
        </w:rPr>
        <w:t xml:space="preserve"> LTA</w:t>
      </w:r>
      <w:r w:rsidR="009530F3" w:rsidRPr="009530F3">
        <w:rPr>
          <w:rFonts w:ascii="Arial" w:hAnsi="Arial" w:cs="Arial"/>
          <w:kern w:val="20"/>
          <w:sz w:val="22"/>
          <w:szCs w:val="22"/>
        </w:rPr>
        <w:t xml:space="preserve"> since it was enacted in 1915.  </w:t>
      </w:r>
      <w:r w:rsidR="009530F3">
        <w:rPr>
          <w:rFonts w:ascii="Arial" w:hAnsi="Arial" w:cs="Arial"/>
          <w:kern w:val="20"/>
          <w:sz w:val="22"/>
          <w:szCs w:val="22"/>
        </w:rPr>
        <w:t xml:space="preserve">As </w:t>
      </w:r>
      <w:r w:rsidR="009530F3" w:rsidRPr="009530F3">
        <w:rPr>
          <w:rFonts w:ascii="Arial" w:hAnsi="Arial" w:cs="Arial"/>
          <w:kern w:val="20"/>
          <w:sz w:val="22"/>
          <w:szCs w:val="22"/>
        </w:rPr>
        <w:t>the</w:t>
      </w:r>
      <w:r w:rsidR="006058E4">
        <w:rPr>
          <w:rFonts w:ascii="Arial" w:hAnsi="Arial" w:cs="Arial"/>
          <w:kern w:val="20"/>
          <w:sz w:val="22"/>
          <w:szCs w:val="22"/>
        </w:rPr>
        <w:t xml:space="preserve"> LTA has</w:t>
      </w:r>
      <w:r w:rsidR="009530F3" w:rsidRPr="009530F3">
        <w:rPr>
          <w:rFonts w:ascii="Arial" w:hAnsi="Arial" w:cs="Arial"/>
          <w:kern w:val="20"/>
          <w:sz w:val="22"/>
          <w:szCs w:val="22"/>
        </w:rPr>
        <w:t xml:space="preserve"> been amended </w:t>
      </w:r>
      <w:r w:rsidR="004E6F75">
        <w:rPr>
          <w:rFonts w:ascii="Arial" w:hAnsi="Arial" w:cs="Arial"/>
          <w:kern w:val="20"/>
          <w:sz w:val="22"/>
          <w:szCs w:val="22"/>
        </w:rPr>
        <w:t>substantially</w:t>
      </w:r>
      <w:r w:rsidR="009530F3" w:rsidRPr="009530F3">
        <w:rPr>
          <w:rFonts w:ascii="Arial" w:hAnsi="Arial" w:cs="Arial"/>
          <w:kern w:val="20"/>
          <w:sz w:val="22"/>
          <w:szCs w:val="22"/>
        </w:rPr>
        <w:t xml:space="preserve"> since that time, </w:t>
      </w:r>
      <w:r>
        <w:rPr>
          <w:rFonts w:ascii="Arial" w:hAnsi="Arial" w:cs="Arial"/>
          <w:kern w:val="20"/>
          <w:sz w:val="22"/>
          <w:szCs w:val="22"/>
        </w:rPr>
        <w:t xml:space="preserve">these provisions </w:t>
      </w:r>
      <w:r w:rsidR="006058E4">
        <w:rPr>
          <w:rFonts w:ascii="Arial" w:hAnsi="Arial" w:cs="Arial"/>
          <w:kern w:val="20"/>
          <w:sz w:val="22"/>
          <w:szCs w:val="22"/>
        </w:rPr>
        <w:t xml:space="preserve">lack coherence in structure and </w:t>
      </w:r>
      <w:r>
        <w:rPr>
          <w:rFonts w:ascii="Arial" w:hAnsi="Arial" w:cs="Arial"/>
          <w:kern w:val="20"/>
          <w:sz w:val="22"/>
          <w:szCs w:val="22"/>
        </w:rPr>
        <w:t xml:space="preserve">adopt </w:t>
      </w:r>
      <w:r w:rsidR="009530F3" w:rsidRPr="009530F3">
        <w:rPr>
          <w:rFonts w:ascii="Arial" w:hAnsi="Arial" w:cs="Arial"/>
          <w:kern w:val="20"/>
          <w:sz w:val="22"/>
          <w:szCs w:val="22"/>
        </w:rPr>
        <w:t>inconsistent and outdated drafting practices.</w:t>
      </w:r>
    </w:p>
    <w:p w:rsidR="006058E4" w:rsidRDefault="006058E4" w:rsidP="00200469">
      <w:pPr>
        <w:numPr>
          <w:ilvl w:val="0"/>
          <w:numId w:val="2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The rewrite of the LTA will be guided by the following principles:</w:t>
      </w:r>
    </w:p>
    <w:p w:rsidR="006058E4" w:rsidRDefault="006058E4" w:rsidP="006058E4">
      <w:pPr>
        <w:numPr>
          <w:ilvl w:val="0"/>
          <w:numId w:val="27"/>
        </w:numPr>
        <w:tabs>
          <w:tab w:val="clear" w:pos="720"/>
          <w:tab w:val="num" w:pos="851"/>
        </w:tabs>
        <w:ind w:left="851" w:hanging="426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simplification of the provisions by restructuring and use of plain English;</w:t>
      </w:r>
    </w:p>
    <w:p w:rsidR="006058E4" w:rsidRDefault="006058E4" w:rsidP="006058E4">
      <w:pPr>
        <w:numPr>
          <w:ilvl w:val="0"/>
          <w:numId w:val="27"/>
        </w:numPr>
        <w:tabs>
          <w:tab w:val="clear" w:pos="720"/>
          <w:tab w:val="num" w:pos="851"/>
        </w:tabs>
        <w:ind w:left="851" w:hanging="426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recognition of current business practices and technological change;</w:t>
      </w:r>
    </w:p>
    <w:p w:rsidR="006058E4" w:rsidRDefault="006058E4" w:rsidP="006058E4">
      <w:pPr>
        <w:numPr>
          <w:ilvl w:val="0"/>
          <w:numId w:val="27"/>
        </w:numPr>
        <w:tabs>
          <w:tab w:val="clear" w:pos="720"/>
          <w:tab w:val="num" w:pos="851"/>
        </w:tabs>
        <w:ind w:left="851" w:hanging="426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consistency where possible with other States’ land tax legislation;</w:t>
      </w:r>
    </w:p>
    <w:p w:rsidR="006058E4" w:rsidRDefault="006058E4" w:rsidP="006058E4">
      <w:pPr>
        <w:numPr>
          <w:ilvl w:val="0"/>
          <w:numId w:val="27"/>
        </w:numPr>
        <w:tabs>
          <w:tab w:val="clear" w:pos="720"/>
          <w:tab w:val="num" w:pos="851"/>
        </w:tabs>
        <w:ind w:left="851" w:hanging="426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minimisation of administration and compliance costs; and</w:t>
      </w:r>
    </w:p>
    <w:p w:rsidR="009530F3" w:rsidRPr="00681D22" w:rsidRDefault="006058E4" w:rsidP="006058E4">
      <w:pPr>
        <w:numPr>
          <w:ilvl w:val="0"/>
          <w:numId w:val="27"/>
        </w:numPr>
        <w:tabs>
          <w:tab w:val="clear" w:pos="720"/>
          <w:tab w:val="num" w:pos="851"/>
        </w:tabs>
        <w:ind w:left="851" w:hanging="426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retention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kern w:val="20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kern w:val="20"/>
          <w:sz w:val="22"/>
          <w:szCs w:val="22"/>
        </w:rPr>
        <w:t>’s revenue base and current land tax policy</w:t>
      </w:r>
      <w:r w:rsidR="009530F3" w:rsidRPr="00681D22">
        <w:rPr>
          <w:rFonts w:ascii="Arial" w:hAnsi="Arial" w:cs="Arial"/>
          <w:kern w:val="20"/>
          <w:sz w:val="22"/>
          <w:szCs w:val="22"/>
        </w:rPr>
        <w:t>.</w:t>
      </w:r>
    </w:p>
    <w:p w:rsidR="00296569" w:rsidRPr="004C4A42" w:rsidRDefault="00C60DC0" w:rsidP="004C4A42">
      <w:pPr>
        <w:numPr>
          <w:ilvl w:val="0"/>
          <w:numId w:val="22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kern w:val="20"/>
          <w:sz w:val="22"/>
          <w:szCs w:val="22"/>
        </w:rPr>
      </w:pPr>
      <w:r w:rsidRPr="00C60DC0">
        <w:rPr>
          <w:rFonts w:ascii="Arial" w:hAnsi="Arial" w:cs="Arial"/>
          <w:kern w:val="20"/>
          <w:sz w:val="22"/>
          <w:szCs w:val="22"/>
          <w:u w:val="single"/>
        </w:rPr>
        <w:t>Cabinet approved</w:t>
      </w:r>
      <w:r>
        <w:rPr>
          <w:rFonts w:ascii="Arial" w:hAnsi="Arial" w:cs="Arial"/>
          <w:kern w:val="20"/>
          <w:sz w:val="22"/>
          <w:szCs w:val="22"/>
        </w:rPr>
        <w:t xml:space="preserve"> the release of the draft legislation for public consultation.</w:t>
      </w:r>
    </w:p>
    <w:p w:rsidR="004C4A42" w:rsidRPr="004C4A42" w:rsidRDefault="004C4A42" w:rsidP="00EF03A2">
      <w:pPr>
        <w:jc w:val="both"/>
        <w:rPr>
          <w:rFonts w:ascii="Arial" w:hAnsi="Arial" w:cs="Arial"/>
          <w:sz w:val="22"/>
          <w:szCs w:val="22"/>
        </w:rPr>
      </w:pPr>
    </w:p>
    <w:p w:rsidR="00EF03A2" w:rsidRPr="004C4A42" w:rsidRDefault="00EF03A2" w:rsidP="00EF03A2">
      <w:pPr>
        <w:jc w:val="both"/>
        <w:rPr>
          <w:rFonts w:ascii="Arial" w:hAnsi="Arial" w:cs="Arial"/>
          <w:sz w:val="22"/>
          <w:szCs w:val="22"/>
        </w:rPr>
      </w:pPr>
    </w:p>
    <w:p w:rsidR="00EF03A2" w:rsidRPr="004C4A42" w:rsidRDefault="00EF03A2" w:rsidP="00EF03A2">
      <w:pPr>
        <w:keepNext/>
        <w:numPr>
          <w:ilvl w:val="0"/>
          <w:numId w:val="22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C4A42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F03A2" w:rsidRPr="004C4A42" w:rsidRDefault="008B4DC4" w:rsidP="00EF03A2">
      <w:pPr>
        <w:numPr>
          <w:ilvl w:val="0"/>
          <w:numId w:val="23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4C4A42" w:rsidRPr="00F949E8">
          <w:rPr>
            <w:rStyle w:val="Hyperlink"/>
            <w:rFonts w:ascii="Arial" w:hAnsi="Arial" w:cs="Arial"/>
            <w:sz w:val="22"/>
            <w:szCs w:val="22"/>
          </w:rPr>
          <w:t>Draft Land Tax Bill 2010 for public consultation</w:t>
        </w:r>
      </w:hyperlink>
    </w:p>
    <w:p w:rsidR="00EF03A2" w:rsidRPr="004C4A42" w:rsidRDefault="00EF03A2" w:rsidP="00EF03A2">
      <w:pPr>
        <w:rPr>
          <w:rFonts w:ascii="Arial" w:hAnsi="Arial" w:cs="Arial"/>
          <w:sz w:val="22"/>
          <w:szCs w:val="22"/>
        </w:rPr>
      </w:pPr>
    </w:p>
    <w:p w:rsidR="00EF03A2" w:rsidRPr="004C4A42" w:rsidRDefault="00EF03A2" w:rsidP="00EF03A2">
      <w:pPr>
        <w:rPr>
          <w:rFonts w:ascii="Arial" w:hAnsi="Arial" w:cs="Arial"/>
          <w:sz w:val="22"/>
          <w:szCs w:val="22"/>
        </w:rPr>
      </w:pPr>
    </w:p>
    <w:p w:rsidR="00B461CB" w:rsidRDefault="00B461CB" w:rsidP="00F803E7">
      <w:pPr>
        <w:tabs>
          <w:tab w:val="left" w:pos="2835"/>
        </w:tabs>
        <w:rPr>
          <w:rFonts w:ascii="Arial" w:hAnsi="Arial" w:cs="Arial"/>
          <w:kern w:val="20"/>
          <w:sz w:val="22"/>
          <w:szCs w:val="22"/>
        </w:rPr>
      </w:pPr>
    </w:p>
    <w:p w:rsidR="006058E4" w:rsidRDefault="006058E4" w:rsidP="00F803E7">
      <w:pPr>
        <w:tabs>
          <w:tab w:val="left" w:pos="2835"/>
        </w:tabs>
        <w:rPr>
          <w:rFonts w:ascii="Arial" w:hAnsi="Arial" w:cs="Arial"/>
          <w:kern w:val="20"/>
          <w:sz w:val="22"/>
          <w:szCs w:val="22"/>
        </w:rPr>
      </w:pPr>
    </w:p>
    <w:p w:rsidR="006058E4" w:rsidRDefault="006058E4" w:rsidP="00F803E7">
      <w:pPr>
        <w:tabs>
          <w:tab w:val="left" w:pos="2835"/>
        </w:tabs>
        <w:rPr>
          <w:rFonts w:ascii="Arial" w:hAnsi="Arial" w:cs="Arial"/>
          <w:kern w:val="20"/>
          <w:sz w:val="22"/>
          <w:szCs w:val="22"/>
        </w:rPr>
      </w:pPr>
    </w:p>
    <w:p w:rsidR="006058E4" w:rsidRDefault="006058E4" w:rsidP="00F803E7">
      <w:pPr>
        <w:tabs>
          <w:tab w:val="left" w:pos="2835"/>
        </w:tabs>
        <w:rPr>
          <w:rFonts w:ascii="Arial" w:hAnsi="Arial" w:cs="Arial"/>
          <w:kern w:val="20"/>
          <w:sz w:val="22"/>
          <w:szCs w:val="22"/>
        </w:rPr>
      </w:pPr>
    </w:p>
    <w:p w:rsidR="006058E4" w:rsidRDefault="006058E4" w:rsidP="00F803E7">
      <w:pPr>
        <w:tabs>
          <w:tab w:val="left" w:pos="2835"/>
        </w:tabs>
        <w:rPr>
          <w:rFonts w:ascii="Arial" w:hAnsi="Arial" w:cs="Arial"/>
          <w:kern w:val="20"/>
          <w:sz w:val="22"/>
          <w:szCs w:val="22"/>
        </w:rPr>
      </w:pPr>
    </w:p>
    <w:sectPr w:rsidR="006058E4" w:rsidSect="00D04CE6">
      <w:headerReference w:type="default" r:id="rId8"/>
      <w:pgSz w:w="11901" w:h="16840" w:code="184"/>
      <w:pgMar w:top="1418" w:right="1701" w:bottom="1418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1DD" w:rsidRDefault="002D11DD">
      <w:r>
        <w:separator/>
      </w:r>
    </w:p>
  </w:endnote>
  <w:endnote w:type="continuationSeparator" w:id="0">
    <w:p w:rsidR="002D11DD" w:rsidRDefault="002D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1DD" w:rsidRDefault="002D11DD">
      <w:r>
        <w:separator/>
      </w:r>
    </w:p>
  </w:footnote>
  <w:footnote w:type="continuationSeparator" w:id="0">
    <w:p w:rsidR="002D11DD" w:rsidRDefault="002D1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E4" w:rsidRPr="004C4A42" w:rsidRDefault="00D64671" w:rsidP="00D04CE6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8E4" w:rsidRPr="000400F9">
      <w:rPr>
        <w:rFonts w:ascii="Arial" w:hAnsi="Arial" w:cs="Arial"/>
        <w:b/>
        <w:sz w:val="22"/>
        <w:szCs w:val="22"/>
        <w:u w:val="single"/>
      </w:rPr>
      <w:t xml:space="preserve">Cabinet </w:t>
    </w:r>
    <w:r w:rsidR="006058E4" w:rsidRPr="004C4A42">
      <w:rPr>
        <w:rFonts w:ascii="Arial" w:hAnsi="Arial" w:cs="Arial"/>
        <w:b/>
        <w:sz w:val="22"/>
        <w:szCs w:val="22"/>
        <w:u w:val="single"/>
      </w:rPr>
      <w:t>– August 2009</w:t>
    </w:r>
    <w:r w:rsidR="006058E4" w:rsidRPr="004C4A42">
      <w:rPr>
        <w:rFonts w:ascii="Arial" w:hAnsi="Arial" w:cs="Arial"/>
        <w:b/>
        <w:sz w:val="22"/>
        <w:szCs w:val="22"/>
      </w:rPr>
      <w:tab/>
    </w:r>
  </w:p>
  <w:p w:rsidR="006058E4" w:rsidRPr="004C4A42" w:rsidRDefault="006058E4" w:rsidP="00D04CE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C4A42">
      <w:rPr>
        <w:rFonts w:ascii="Arial" w:hAnsi="Arial" w:cs="Arial"/>
        <w:b/>
        <w:sz w:val="22"/>
        <w:szCs w:val="22"/>
        <w:u w:val="single"/>
      </w:rPr>
      <w:t>Land Tax Bill 2010</w:t>
    </w:r>
  </w:p>
  <w:p w:rsidR="006058E4" w:rsidRPr="004C4A42" w:rsidRDefault="006058E4" w:rsidP="00D04CE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C4A42">
      <w:rPr>
        <w:rFonts w:ascii="Arial" w:hAnsi="Arial" w:cs="Arial"/>
        <w:b/>
        <w:sz w:val="22"/>
        <w:szCs w:val="22"/>
        <w:u w:val="single"/>
      </w:rPr>
      <w:t>Treasurer and Minister for Employment and Economic Development</w:t>
    </w:r>
  </w:p>
  <w:p w:rsidR="006058E4" w:rsidRPr="00F10DF9" w:rsidRDefault="006058E4" w:rsidP="00D04CE6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  <w:p w:rsidR="006058E4" w:rsidRPr="00315E82" w:rsidRDefault="006058E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B6F"/>
    <w:multiLevelType w:val="singleLevel"/>
    <w:tmpl w:val="2D0A558A"/>
    <w:lvl w:ilvl="0">
      <w:start w:val="1"/>
      <w:numFmt w:val="decimal"/>
      <w:lvlText w:val="%1. "/>
      <w:lvlJc w:val="left"/>
      <w:pPr>
        <w:tabs>
          <w:tab w:val="num" w:pos="562"/>
        </w:tabs>
        <w:ind w:left="562" w:hanging="562"/>
      </w:pPr>
    </w:lvl>
  </w:abstractNum>
  <w:abstractNum w:abstractNumId="1" w15:restartNumberingAfterBreak="0">
    <w:nsid w:val="03C83BF1"/>
    <w:multiLevelType w:val="hybridMultilevel"/>
    <w:tmpl w:val="AC7A679A"/>
    <w:lvl w:ilvl="0" w:tplc="59B605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5819"/>
    <w:multiLevelType w:val="hybridMultilevel"/>
    <w:tmpl w:val="0D12CAE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35FB8"/>
    <w:multiLevelType w:val="singleLevel"/>
    <w:tmpl w:val="07E895CA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</w:abstractNum>
  <w:abstractNum w:abstractNumId="4" w15:restartNumberingAfterBreak="0">
    <w:nsid w:val="19D405C2"/>
    <w:multiLevelType w:val="singleLevel"/>
    <w:tmpl w:val="C98450C6"/>
    <w:lvl w:ilvl="0">
      <w:start w:val="1"/>
      <w:numFmt w:val="decimal"/>
      <w:lvlRestart w:val="0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A974BF8"/>
    <w:multiLevelType w:val="hybridMultilevel"/>
    <w:tmpl w:val="B49EC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3453A2">
      <w:start w:val="1"/>
      <w:numFmt w:val="bullet"/>
      <w:lvlText w:val=""/>
      <w:lvlJc w:val="left"/>
      <w:pPr>
        <w:tabs>
          <w:tab w:val="num" w:pos="1437"/>
        </w:tabs>
        <w:ind w:left="723" w:firstLine="357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6371B"/>
    <w:multiLevelType w:val="hybridMultilevel"/>
    <w:tmpl w:val="98F21508"/>
    <w:lvl w:ilvl="0" w:tplc="CD3ABA84">
      <w:start w:val="1"/>
      <w:numFmt w:val="bullet"/>
      <w:lvlRestart w:val="0"/>
      <w:lvlText w:val=""/>
      <w:lvlJc w:val="left"/>
      <w:pPr>
        <w:tabs>
          <w:tab w:val="num" w:pos="1620"/>
        </w:tabs>
        <w:ind w:left="1620" w:hanging="57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FD14444"/>
    <w:multiLevelType w:val="hybridMultilevel"/>
    <w:tmpl w:val="51D033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F5ABB"/>
    <w:multiLevelType w:val="hybridMultilevel"/>
    <w:tmpl w:val="0E82FC92"/>
    <w:lvl w:ilvl="0" w:tplc="76D43536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26"/>
        <w:szCs w:val="26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232E9"/>
    <w:multiLevelType w:val="hybridMultilevel"/>
    <w:tmpl w:val="BB08B97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3F7F56"/>
    <w:multiLevelType w:val="singleLevel"/>
    <w:tmpl w:val="775C838E"/>
    <w:lvl w:ilvl="0">
      <w:start w:val="1"/>
      <w:numFmt w:val="decimal"/>
      <w:lvlText w:val="%1. "/>
      <w:lvlJc w:val="left"/>
      <w:pPr>
        <w:tabs>
          <w:tab w:val="num" w:pos="562"/>
        </w:tabs>
        <w:ind w:left="562" w:hanging="562"/>
      </w:pPr>
    </w:lvl>
  </w:abstractNum>
  <w:abstractNum w:abstractNumId="11" w15:restartNumberingAfterBreak="0">
    <w:nsid w:val="3CF428A8"/>
    <w:multiLevelType w:val="hybridMultilevel"/>
    <w:tmpl w:val="E2E65848"/>
    <w:lvl w:ilvl="0" w:tplc="ABE01C8A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746F1"/>
    <w:multiLevelType w:val="hybridMultilevel"/>
    <w:tmpl w:val="B0DC660C"/>
    <w:lvl w:ilvl="0" w:tplc="040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3" w15:restartNumberingAfterBreak="0">
    <w:nsid w:val="48E131AA"/>
    <w:multiLevelType w:val="singleLevel"/>
    <w:tmpl w:val="17CAFE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</w:abstractNum>
  <w:abstractNum w:abstractNumId="14" w15:restartNumberingAfterBreak="0">
    <w:nsid w:val="517071F4"/>
    <w:multiLevelType w:val="multilevel"/>
    <w:tmpl w:val="E2E65848"/>
    <w:lvl w:ilvl="0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A54C5"/>
    <w:multiLevelType w:val="singleLevel"/>
    <w:tmpl w:val="17CAFE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</w:abstractNum>
  <w:abstractNum w:abstractNumId="16" w15:restartNumberingAfterBreak="0">
    <w:nsid w:val="5DC05B66"/>
    <w:multiLevelType w:val="hybridMultilevel"/>
    <w:tmpl w:val="3DDC6E5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3023E8"/>
    <w:multiLevelType w:val="singleLevel"/>
    <w:tmpl w:val="C32CED3C"/>
    <w:lvl w:ilvl="0">
      <w:start w:val="1"/>
      <w:numFmt w:val="decimal"/>
      <w:lvlRestart w:val="0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</w:abstractNum>
  <w:abstractNum w:abstractNumId="18" w15:restartNumberingAfterBreak="0">
    <w:nsid w:val="5E506A7E"/>
    <w:multiLevelType w:val="hybridMultilevel"/>
    <w:tmpl w:val="4EA0C068"/>
    <w:lvl w:ilvl="0" w:tplc="CD3ABA84">
      <w:start w:val="1"/>
      <w:numFmt w:val="bullet"/>
      <w:lvlRestart w:val="0"/>
      <w:lvlText w:val=""/>
      <w:lvlJc w:val="left"/>
      <w:pPr>
        <w:tabs>
          <w:tab w:val="num" w:pos="930"/>
        </w:tabs>
        <w:ind w:left="930" w:hanging="57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B319E"/>
    <w:multiLevelType w:val="singleLevel"/>
    <w:tmpl w:val="186085D6"/>
    <w:lvl w:ilvl="0">
      <w:start w:val="1"/>
      <w:numFmt w:val="decimal"/>
      <w:lvlText w:val="%1. "/>
      <w:lvlJc w:val="left"/>
      <w:pPr>
        <w:tabs>
          <w:tab w:val="num" w:pos="562"/>
        </w:tabs>
        <w:ind w:left="562" w:hanging="562"/>
      </w:pPr>
    </w:lvl>
  </w:abstractNum>
  <w:abstractNum w:abstractNumId="20" w15:restartNumberingAfterBreak="0">
    <w:nsid w:val="6D8A1280"/>
    <w:multiLevelType w:val="singleLevel"/>
    <w:tmpl w:val="2520B9B6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562"/>
      </w:pPr>
    </w:lvl>
  </w:abstractNum>
  <w:abstractNum w:abstractNumId="21" w15:restartNumberingAfterBreak="0">
    <w:nsid w:val="7109345B"/>
    <w:multiLevelType w:val="multilevel"/>
    <w:tmpl w:val="AC7A679A"/>
    <w:lvl w:ilvl="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65ECE"/>
    <w:multiLevelType w:val="hybridMultilevel"/>
    <w:tmpl w:val="89CCDF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5D77FD"/>
    <w:multiLevelType w:val="singleLevel"/>
    <w:tmpl w:val="9F4000B8"/>
    <w:lvl w:ilvl="0">
      <w:start w:val="1"/>
      <w:numFmt w:val="decimal"/>
      <w:lvlText w:val="%1"/>
      <w:lvlJc w:val="left"/>
      <w:pPr>
        <w:tabs>
          <w:tab w:val="num" w:pos="677"/>
        </w:tabs>
        <w:ind w:left="677" w:hanging="677"/>
      </w:pPr>
    </w:lvl>
  </w:abstractNum>
  <w:abstractNum w:abstractNumId="24" w15:restartNumberingAfterBreak="0">
    <w:nsid w:val="76F01535"/>
    <w:multiLevelType w:val="hybridMultilevel"/>
    <w:tmpl w:val="6ECAC50E"/>
    <w:lvl w:ilvl="0" w:tplc="59B6055C">
      <w:numFmt w:val="bullet"/>
      <w:lvlText w:val="-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5CDCEE4C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3"/>
  </w:num>
  <w:num w:numId="4">
    <w:abstractNumId w:val="3"/>
  </w:num>
  <w:num w:numId="5">
    <w:abstractNumId w:val="20"/>
  </w:num>
  <w:num w:numId="6">
    <w:abstractNumId w:val="17"/>
  </w:num>
  <w:num w:numId="7">
    <w:abstractNumId w:val="4"/>
  </w:num>
  <w:num w:numId="8">
    <w:abstractNumId w:val="10"/>
  </w:num>
  <w:num w:numId="9">
    <w:abstractNumId w:val="19"/>
  </w:num>
  <w:num w:numId="10">
    <w:abstractNumId w:val="0"/>
  </w:num>
  <w:num w:numId="11">
    <w:abstractNumId w:val="16"/>
  </w:num>
  <w:num w:numId="12">
    <w:abstractNumId w:val="9"/>
  </w:num>
  <w:num w:numId="13">
    <w:abstractNumId w:val="22"/>
  </w:num>
  <w:num w:numId="14">
    <w:abstractNumId w:val="1"/>
  </w:num>
  <w:num w:numId="15">
    <w:abstractNumId w:val="21"/>
  </w:num>
  <w:num w:numId="16">
    <w:abstractNumId w:val="11"/>
  </w:num>
  <w:num w:numId="17">
    <w:abstractNumId w:val="14"/>
  </w:num>
  <w:num w:numId="18">
    <w:abstractNumId w:val="18"/>
  </w:num>
  <w:num w:numId="19">
    <w:abstractNumId w:val="6"/>
  </w:num>
  <w:num w:numId="20">
    <w:abstractNumId w:val="5"/>
  </w:num>
  <w:num w:numId="21">
    <w:abstractNumId w:val="24"/>
  </w:num>
  <w:num w:numId="22">
    <w:abstractNumId w:val="26"/>
  </w:num>
  <w:num w:numId="23">
    <w:abstractNumId w:val="25"/>
  </w:num>
  <w:num w:numId="24">
    <w:abstractNumId w:val="2"/>
  </w:num>
  <w:num w:numId="25">
    <w:abstractNumId w:val="12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9"/>
    <w:rsid w:val="00005775"/>
    <w:rsid w:val="000079D3"/>
    <w:rsid w:val="0002166F"/>
    <w:rsid w:val="00042475"/>
    <w:rsid w:val="000B6BFC"/>
    <w:rsid w:val="000F168F"/>
    <w:rsid w:val="00100620"/>
    <w:rsid w:val="0012396B"/>
    <w:rsid w:val="00154198"/>
    <w:rsid w:val="0015540C"/>
    <w:rsid w:val="001A55FA"/>
    <w:rsid w:val="001D5D5A"/>
    <w:rsid w:val="001E3C64"/>
    <w:rsid w:val="00200469"/>
    <w:rsid w:val="0021469F"/>
    <w:rsid w:val="00296569"/>
    <w:rsid w:val="002D11DD"/>
    <w:rsid w:val="002D742E"/>
    <w:rsid w:val="003121EA"/>
    <w:rsid w:val="00330FAE"/>
    <w:rsid w:val="003376EF"/>
    <w:rsid w:val="00343A4D"/>
    <w:rsid w:val="003654D5"/>
    <w:rsid w:val="003B0FB6"/>
    <w:rsid w:val="003F48D0"/>
    <w:rsid w:val="004006CF"/>
    <w:rsid w:val="00456B65"/>
    <w:rsid w:val="00464B55"/>
    <w:rsid w:val="004A2A8E"/>
    <w:rsid w:val="004C4A42"/>
    <w:rsid w:val="004D2018"/>
    <w:rsid w:val="004D763F"/>
    <w:rsid w:val="004E6F75"/>
    <w:rsid w:val="00531609"/>
    <w:rsid w:val="00532103"/>
    <w:rsid w:val="0053348C"/>
    <w:rsid w:val="00542023"/>
    <w:rsid w:val="005579B5"/>
    <w:rsid w:val="00572A3C"/>
    <w:rsid w:val="00597D20"/>
    <w:rsid w:val="005C51F0"/>
    <w:rsid w:val="005E2F52"/>
    <w:rsid w:val="005F427D"/>
    <w:rsid w:val="005F6635"/>
    <w:rsid w:val="006058E4"/>
    <w:rsid w:val="00623AC6"/>
    <w:rsid w:val="00646711"/>
    <w:rsid w:val="00655060"/>
    <w:rsid w:val="00681D22"/>
    <w:rsid w:val="006A4FBB"/>
    <w:rsid w:val="006C45BD"/>
    <w:rsid w:val="006D35D0"/>
    <w:rsid w:val="006F274C"/>
    <w:rsid w:val="006F4A15"/>
    <w:rsid w:val="0070713D"/>
    <w:rsid w:val="00753003"/>
    <w:rsid w:val="007770B1"/>
    <w:rsid w:val="007E57F5"/>
    <w:rsid w:val="007E5DD1"/>
    <w:rsid w:val="007F71DA"/>
    <w:rsid w:val="00830BBE"/>
    <w:rsid w:val="008454C7"/>
    <w:rsid w:val="00845D05"/>
    <w:rsid w:val="00884D94"/>
    <w:rsid w:val="008A6E93"/>
    <w:rsid w:val="008B4DC4"/>
    <w:rsid w:val="009530F3"/>
    <w:rsid w:val="009861A0"/>
    <w:rsid w:val="00A957CC"/>
    <w:rsid w:val="00AC4898"/>
    <w:rsid w:val="00AF5CE1"/>
    <w:rsid w:val="00B461CB"/>
    <w:rsid w:val="00B55E43"/>
    <w:rsid w:val="00B60EE2"/>
    <w:rsid w:val="00B7730D"/>
    <w:rsid w:val="00B86261"/>
    <w:rsid w:val="00BB4C83"/>
    <w:rsid w:val="00BC2B29"/>
    <w:rsid w:val="00BF0297"/>
    <w:rsid w:val="00C07069"/>
    <w:rsid w:val="00C60DC0"/>
    <w:rsid w:val="00C61599"/>
    <w:rsid w:val="00C84A4F"/>
    <w:rsid w:val="00CE28EB"/>
    <w:rsid w:val="00D03746"/>
    <w:rsid w:val="00D04CE6"/>
    <w:rsid w:val="00D06A4C"/>
    <w:rsid w:val="00D220F9"/>
    <w:rsid w:val="00D6077D"/>
    <w:rsid w:val="00D64671"/>
    <w:rsid w:val="00D744E6"/>
    <w:rsid w:val="00E0580A"/>
    <w:rsid w:val="00E17CA8"/>
    <w:rsid w:val="00E52190"/>
    <w:rsid w:val="00EA41F8"/>
    <w:rsid w:val="00EA5BAB"/>
    <w:rsid w:val="00ED0AB6"/>
    <w:rsid w:val="00EF03A2"/>
    <w:rsid w:val="00F564B1"/>
    <w:rsid w:val="00F803E7"/>
    <w:rsid w:val="00F84C1A"/>
    <w:rsid w:val="00F91CAC"/>
    <w:rsid w:val="00F949E8"/>
    <w:rsid w:val="00FB30FC"/>
    <w:rsid w:val="00FC1945"/>
    <w:rsid w:val="00FC582F"/>
    <w:rsid w:val="00FC6D76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57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"/>
    <w:rsid w:val="000F168F"/>
    <w:pPr>
      <w:tabs>
        <w:tab w:val="left" w:pos="8278"/>
      </w:tabs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styleId="Hyperlink">
    <w:name w:val="Hyperlink"/>
    <w:basedOn w:val="DefaultParagraphFont"/>
    <w:rsid w:val="00E0580A"/>
    <w:rPr>
      <w:color w:val="0000FF"/>
      <w:u w:val="single"/>
    </w:rPr>
  </w:style>
  <w:style w:type="paragraph" w:styleId="BalloonText">
    <w:name w:val="Balloon Text"/>
    <w:basedOn w:val="Normal"/>
    <w:semiHidden/>
    <w:rsid w:val="00C60DC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949E8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Land%20Tax%20Bill%202010%20Consultation%20Draft%20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treasury\CLLO\Authority%20to%20Prepare%20and%20Introduce%20a%20Bi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Authority to Prepare and Introduce a Bill.dot</Template>
  <TotalTime>0</TotalTime>
  <Pages>1</Pages>
  <Words>236</Words>
  <Characters>1290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1524</CharactersWithSpaces>
  <SharedDoc>false</SharedDoc>
  <HyperlinkBase>https://www.cabinet.qld.gov.au/documents/2009/Aug/Land Tax Bill/</HyperlinkBase>
  <HLinks>
    <vt:vector size="6" baseType="variant">
      <vt:variant>
        <vt:i4>7602272</vt:i4>
      </vt:variant>
      <vt:variant>
        <vt:i4>0</vt:i4>
      </vt:variant>
      <vt:variant>
        <vt:i4>0</vt:i4>
      </vt:variant>
      <vt:variant>
        <vt:i4>5</vt:i4>
      </vt:variant>
      <vt:variant>
        <vt:lpwstr>Attachments/Land Tax Bill 2010 Consultation Draft 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>Land,Taxation,Legislation,LTA,Tax</cp:keywords>
  <dc:description/>
  <cp:lastModifiedBy/>
  <cp:revision>2</cp:revision>
  <cp:lastPrinted>2010-01-14T23:25:00Z</cp:lastPrinted>
  <dcterms:created xsi:type="dcterms:W3CDTF">2017-10-24T21:58:00Z</dcterms:created>
  <dcterms:modified xsi:type="dcterms:W3CDTF">2018-03-06T00:55:00Z</dcterms:modified>
  <cp:category>Land,Taxation,Legislation</cp:category>
</cp:coreProperties>
</file>